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E4" w:rsidRPr="00716176" w:rsidRDefault="009513E4">
      <w:pPr>
        <w:rPr>
          <w:rFonts w:cs="Times New Roman"/>
        </w:rPr>
      </w:pPr>
      <w:bookmarkStart w:id="0" w:name="_GoBack"/>
      <w:bookmarkEnd w:id="0"/>
      <w:r w:rsidRPr="00716176">
        <w:rPr>
          <w:rFonts w:cs="Times New Roman"/>
        </w:rPr>
        <w:t xml:space="preserve">WORKLOAD </w:t>
      </w:r>
      <w:r w:rsidR="00716176" w:rsidRPr="00716176">
        <w:rPr>
          <w:rFonts w:cs="Times New Roman"/>
        </w:rPr>
        <w:t>GUIDELINES</w:t>
      </w:r>
    </w:p>
    <w:p w:rsidR="00DE6572" w:rsidRDefault="002F691F">
      <w:pPr>
        <w:rPr>
          <w:rFonts w:cs="Times New Roman"/>
        </w:rPr>
      </w:pPr>
      <w:r w:rsidRPr="00716176">
        <w:rPr>
          <w:rFonts w:cs="Times New Roman"/>
        </w:rPr>
        <w:t>Department of English</w:t>
      </w:r>
    </w:p>
    <w:p w:rsidR="00A70FF5" w:rsidRPr="00716176" w:rsidRDefault="00A70FF5">
      <w:pPr>
        <w:rPr>
          <w:rFonts w:cs="Times New Roman"/>
        </w:rPr>
      </w:pPr>
      <w:r>
        <w:rPr>
          <w:rFonts w:cs="Times New Roman"/>
        </w:rPr>
        <w:t xml:space="preserve">March 2019 </w:t>
      </w:r>
    </w:p>
    <w:p w:rsidR="002F691F" w:rsidRPr="00716176" w:rsidRDefault="002F691F">
      <w:pPr>
        <w:rPr>
          <w:rFonts w:cs="Times New Roman"/>
        </w:rPr>
      </w:pPr>
    </w:p>
    <w:p w:rsidR="002F691F" w:rsidRDefault="00716176" w:rsidP="002F691F">
      <w:pPr>
        <w:jc w:val="center"/>
      </w:pPr>
      <w:r w:rsidRPr="00716176">
        <w:t>WORKLOAD GUIDELINES</w:t>
      </w:r>
      <w:r w:rsidR="002F691F" w:rsidRPr="00716176">
        <w:t xml:space="preserve"> </w:t>
      </w:r>
      <w:r w:rsidR="00A70FF5">
        <w:t xml:space="preserve"> </w:t>
      </w:r>
    </w:p>
    <w:p w:rsidR="00A70FF5" w:rsidRDefault="00A70FF5" w:rsidP="002F691F">
      <w:pPr>
        <w:jc w:val="center"/>
      </w:pPr>
      <w:r>
        <w:t>Approved by Executive Committee</w:t>
      </w:r>
    </w:p>
    <w:p w:rsidR="00A70FF5" w:rsidRPr="00716176" w:rsidRDefault="00A70FF5" w:rsidP="002F691F">
      <w:pPr>
        <w:jc w:val="center"/>
      </w:pPr>
    </w:p>
    <w:p w:rsidR="000A0576" w:rsidRPr="00716176" w:rsidRDefault="006D7297" w:rsidP="006D7297">
      <w:r w:rsidRPr="00716176">
        <w:t xml:space="preserve">Relevant </w:t>
      </w:r>
      <w:r w:rsidR="00A86D8A" w:rsidRPr="00716176">
        <w:t xml:space="preserve">Policies: </w:t>
      </w:r>
      <w:hyperlink r:id="rId5" w:history="1">
        <w:r w:rsidR="000A0576" w:rsidRPr="00716176">
          <w:rPr>
            <w:rStyle w:val="Hyperlink"/>
          </w:rPr>
          <w:t>UNT Academic Workload Policy</w:t>
        </w:r>
      </w:hyperlink>
      <w:r w:rsidR="000A0576" w:rsidRPr="00716176">
        <w:t xml:space="preserve">, </w:t>
      </w:r>
      <w:hyperlink r:id="rId6" w:history="1">
        <w:r w:rsidRPr="00716176">
          <w:rPr>
            <w:rStyle w:val="Hyperlink"/>
          </w:rPr>
          <w:t>UNT Academic Freedom and Responsibility Policy</w:t>
        </w:r>
      </w:hyperlink>
    </w:p>
    <w:p w:rsidR="002F691F" w:rsidRPr="00716176" w:rsidRDefault="006D7297" w:rsidP="006D7297">
      <w:r w:rsidRPr="00716176">
        <w:t xml:space="preserve"> </w:t>
      </w:r>
    </w:p>
    <w:p w:rsidR="002F691F" w:rsidRPr="00716176" w:rsidRDefault="002F691F" w:rsidP="002F691F">
      <w:r w:rsidRPr="00716176">
        <w:t xml:space="preserve">The University Academic Workload </w:t>
      </w:r>
      <w:r w:rsidR="000A0576" w:rsidRPr="00716176">
        <w:t xml:space="preserve">policy states that </w:t>
      </w:r>
      <w:r w:rsidRPr="00716176">
        <w:t>“</w:t>
      </w:r>
      <w:r w:rsidR="000A0576" w:rsidRPr="00716176">
        <w:t xml:space="preserve">Generally, it is expected that a tenure-system faculty member will carry a balanced workload, though in certain cases a major focus on scholarship, on instruction, or on service is warranted.  Percentage workload weights in each area of teaching, scholarship, and service must be assigned to allow all tenure-system faculty members to fulfill their role as members of the community by engaging in and pursuing a meaningful program of research and creative activity.” </w:t>
      </w:r>
    </w:p>
    <w:p w:rsidR="002F691F" w:rsidRPr="00716176" w:rsidRDefault="002F691F" w:rsidP="002F691F">
      <w:pPr>
        <w:rPr>
          <w:b/>
        </w:rPr>
      </w:pPr>
    </w:p>
    <w:p w:rsidR="002F691F" w:rsidRPr="00716176" w:rsidRDefault="002F691F" w:rsidP="002F691F">
      <w:pPr>
        <w:rPr>
          <w:u w:val="single"/>
        </w:rPr>
      </w:pPr>
      <w:r w:rsidRPr="00716176">
        <w:rPr>
          <w:u w:val="single"/>
        </w:rPr>
        <w:t>Teaching</w:t>
      </w:r>
    </w:p>
    <w:p w:rsidR="002F691F" w:rsidRPr="00716176" w:rsidRDefault="002F691F" w:rsidP="002F691F">
      <w:r w:rsidRPr="00716176">
        <w:t xml:space="preserve">In the university’s workload policy, classes typically count for 10% effort. </w:t>
      </w:r>
    </w:p>
    <w:p w:rsidR="002F691F" w:rsidRPr="00716176" w:rsidRDefault="002F691F" w:rsidP="002F691F"/>
    <w:p w:rsidR="002F691F" w:rsidRPr="00716176" w:rsidRDefault="002F691F" w:rsidP="002F691F">
      <w:r w:rsidRPr="00716176">
        <w:t xml:space="preserve">Given that the normal workload for tenure-system faculty is 40% teaching, the </w:t>
      </w:r>
      <w:r w:rsidR="0090500D" w:rsidRPr="00716176">
        <w:t>standard teaching load for</w:t>
      </w:r>
      <w:r w:rsidRPr="00716176">
        <w:t xml:space="preserve"> tenure-system faculty members </w:t>
      </w:r>
      <w:r w:rsidR="0090500D" w:rsidRPr="00716176">
        <w:t xml:space="preserve">is 2/2. </w:t>
      </w:r>
      <w:r w:rsidRPr="00716176">
        <w:t xml:space="preserve"> </w:t>
      </w:r>
    </w:p>
    <w:p w:rsidR="002F691F" w:rsidRPr="00716176" w:rsidRDefault="002F691F" w:rsidP="002F691F"/>
    <w:p w:rsidR="002F691F" w:rsidRPr="00716176" w:rsidRDefault="002F691F" w:rsidP="002F691F">
      <w:r w:rsidRPr="00716176">
        <w:lastRenderedPageBreak/>
        <w:t xml:space="preserve">Given that the normal workload for lecturers is 80% teaching, the </w:t>
      </w:r>
      <w:r w:rsidR="0090500D" w:rsidRPr="00716176">
        <w:t xml:space="preserve">standard teaching load for lecturers is 4/4. </w:t>
      </w:r>
    </w:p>
    <w:p w:rsidR="002F691F" w:rsidRPr="00716176" w:rsidRDefault="002F691F" w:rsidP="002F691F"/>
    <w:p w:rsidR="002F691F" w:rsidRPr="00716176" w:rsidRDefault="002F691F" w:rsidP="002F691F">
      <w:r w:rsidRPr="00716176">
        <w:t xml:space="preserve">Teaching workload percentages will be directly tied to the number of courses taught (40% = 2/2, 50% =2/3 or 3/2, 60% = 3/3, 80% = 4/4). However, lower-division, heavy-workload courses (e.g. First-year Writing </w:t>
      </w:r>
      <w:r w:rsidR="00716176" w:rsidRPr="00716176">
        <w:t>or classes with</w:t>
      </w:r>
      <w:r w:rsidR="000A0576" w:rsidRPr="00716176">
        <w:t xml:space="preserve"> 35 or more students) will </w:t>
      </w:r>
      <w:r w:rsidRPr="00716176">
        <w:t xml:space="preserve">count for 12% effort. </w:t>
      </w:r>
    </w:p>
    <w:p w:rsidR="002F691F" w:rsidRPr="00716176" w:rsidRDefault="002F691F" w:rsidP="002F691F"/>
    <w:p w:rsidR="002F691F" w:rsidRPr="00716176" w:rsidRDefault="002F691F" w:rsidP="002F691F">
      <w:r w:rsidRPr="00716176">
        <w:t>If a tenure-system faculty member prefers to teach more courses or has multiple students (3 or more) who will be defending theses or dissertations in the upcoming year, s/he can request an increased teaching workload percentage and a decreased research or service workload percentage.</w:t>
      </w:r>
    </w:p>
    <w:p w:rsidR="002F691F" w:rsidRPr="00716176" w:rsidRDefault="002F691F" w:rsidP="002F691F"/>
    <w:p w:rsidR="002F691F" w:rsidRPr="00716176" w:rsidRDefault="0090500D" w:rsidP="002F691F">
      <w:r w:rsidRPr="00716176">
        <w:t xml:space="preserve">Department and program needs determine faculty teaching assignments. </w:t>
      </w:r>
    </w:p>
    <w:p w:rsidR="002F691F" w:rsidRPr="00716176" w:rsidRDefault="002F691F" w:rsidP="002F691F"/>
    <w:p w:rsidR="002F691F" w:rsidRPr="00716176" w:rsidRDefault="002F691F" w:rsidP="002F691F">
      <w:pPr>
        <w:rPr>
          <w:u w:val="single"/>
        </w:rPr>
      </w:pPr>
      <w:r w:rsidRPr="00716176">
        <w:rPr>
          <w:u w:val="single"/>
        </w:rPr>
        <w:t xml:space="preserve">Service </w:t>
      </w:r>
    </w:p>
    <w:p w:rsidR="002F691F" w:rsidRPr="00716176" w:rsidRDefault="002F691F" w:rsidP="002F691F">
      <w:r w:rsidRPr="00716176">
        <w:t>The s</w:t>
      </w:r>
      <w:r w:rsidR="0090500D" w:rsidRPr="00716176">
        <w:t>tandard s</w:t>
      </w:r>
      <w:r w:rsidRPr="00716176">
        <w:t>ervice workload percentage for</w:t>
      </w:r>
      <w:r w:rsidR="0090500D" w:rsidRPr="00716176">
        <w:t xml:space="preserve"> most</w:t>
      </w:r>
      <w:r w:rsidRPr="00716176">
        <w:t xml:space="preserve"> faculty members will be 10% (the minimum for tenured faculty) to 20%, unless there is a specific administrative position that warrants a higher service workload percentage. </w:t>
      </w:r>
      <w:r w:rsidR="007B28E9" w:rsidRPr="00716176">
        <w:t xml:space="preserve">The </w:t>
      </w:r>
      <w:r w:rsidR="00531FDB" w:rsidRPr="00716176">
        <w:t xml:space="preserve">Chair, </w:t>
      </w:r>
      <w:r w:rsidR="0090500D" w:rsidRPr="00716176">
        <w:t xml:space="preserve">Associate Chair, </w:t>
      </w:r>
      <w:r w:rsidR="007B28E9" w:rsidRPr="00716176">
        <w:t xml:space="preserve">Chair of Graduate Studies, </w:t>
      </w:r>
      <w:r w:rsidR="00531FDB" w:rsidRPr="00716176">
        <w:t xml:space="preserve">Director of First Year Writing, </w:t>
      </w:r>
      <w:r w:rsidR="007B28E9" w:rsidRPr="00716176">
        <w:t xml:space="preserve">and </w:t>
      </w:r>
      <w:r w:rsidR="0090500D" w:rsidRPr="00716176">
        <w:t xml:space="preserve">Director </w:t>
      </w:r>
      <w:r w:rsidR="007B28E9" w:rsidRPr="00716176">
        <w:t>of Creative Writing qualify for a higher service load</w:t>
      </w:r>
      <w:r w:rsidR="005F57F0" w:rsidRPr="00716176">
        <w:t>, as do the Graduate and Undergraduate Advisors and the Director of the Writing Center</w:t>
      </w:r>
      <w:r w:rsidR="007B28E9" w:rsidRPr="00716176">
        <w:t>. Other</w:t>
      </w:r>
      <w:r w:rsidRPr="00716176">
        <w:t xml:space="preserve"> faculty member</w:t>
      </w:r>
      <w:r w:rsidR="007B28E9" w:rsidRPr="00716176">
        <w:t>s</w:t>
      </w:r>
      <w:r w:rsidRPr="00716176">
        <w:t xml:space="preserve"> with a high level of documented </w:t>
      </w:r>
      <w:r w:rsidRPr="00716176">
        <w:lastRenderedPageBreak/>
        <w:t>service commitments can request an increased service workload percentage.</w:t>
      </w:r>
      <w:r w:rsidR="007B28E9" w:rsidRPr="00716176">
        <w:t xml:space="preserve"> </w:t>
      </w:r>
    </w:p>
    <w:p w:rsidR="002F691F" w:rsidRPr="00716176" w:rsidRDefault="002F691F" w:rsidP="002F691F"/>
    <w:p w:rsidR="002F691F" w:rsidRPr="00716176" w:rsidRDefault="002F691F" w:rsidP="002F691F">
      <w:r w:rsidRPr="00716176">
        <w:t>The</w:t>
      </w:r>
      <w:r w:rsidR="0090500D" w:rsidRPr="00716176">
        <w:t xml:space="preserve"> standard</w:t>
      </w:r>
      <w:r w:rsidRPr="00716176">
        <w:t xml:space="preserve"> service workload percentage for tenure-track faculty is normally 5%.</w:t>
      </w:r>
    </w:p>
    <w:p w:rsidR="002F691F" w:rsidRPr="00716176" w:rsidRDefault="002F691F" w:rsidP="002F691F"/>
    <w:p w:rsidR="002F691F" w:rsidRPr="00716176" w:rsidRDefault="002F691F" w:rsidP="002F691F">
      <w:pPr>
        <w:rPr>
          <w:u w:val="single"/>
        </w:rPr>
      </w:pPr>
      <w:r w:rsidRPr="00716176">
        <w:rPr>
          <w:u w:val="single"/>
        </w:rPr>
        <w:t>Research</w:t>
      </w:r>
    </w:p>
    <w:p w:rsidR="0090500D" w:rsidRPr="00716176" w:rsidRDefault="002F691F">
      <w:r w:rsidRPr="00716176">
        <w:t>For tenure-system faculty members, a 40% research workload carries the expectation of steady productivity, determined annually by the department chair in consultation with individual faculty members and mindful of work published, accepted for publication, and demonstrably in progress.</w:t>
      </w:r>
      <w:r w:rsidR="000A0576" w:rsidRPr="00716176">
        <w:t xml:space="preserve"> </w:t>
      </w:r>
    </w:p>
    <w:p w:rsidR="0090500D" w:rsidRPr="00716176" w:rsidRDefault="0090500D"/>
    <w:p w:rsidR="002F691F" w:rsidRPr="00716176" w:rsidRDefault="000A0576">
      <w:r w:rsidRPr="00716176">
        <w:t xml:space="preserve">To qualify automatically for a 40% research load, tenure-system faculty must maintain </w:t>
      </w:r>
      <w:r w:rsidR="002F1CA8" w:rsidRPr="00716176">
        <w:t>productivity</w:t>
      </w:r>
      <w:r w:rsidRPr="00716176">
        <w:t>.  Any faculty member who earns a</w:t>
      </w:r>
      <w:r w:rsidR="0090500D" w:rsidRPr="00716176">
        <w:t xml:space="preserve"> </w:t>
      </w:r>
      <w:r w:rsidRPr="00716176">
        <w:t xml:space="preserve">research score of </w:t>
      </w:r>
      <w:r w:rsidRPr="00716176">
        <w:rPr>
          <w:b/>
        </w:rPr>
        <w:t>3.5</w:t>
      </w:r>
      <w:r w:rsidR="0090500D" w:rsidRPr="00716176">
        <w:t xml:space="preserve"> or below from the PAC for two years in a row </w:t>
      </w:r>
      <w:r w:rsidRPr="00716176">
        <w:t xml:space="preserve">will need to demonstrate their research productivity </w:t>
      </w:r>
      <w:r w:rsidR="007B28E9" w:rsidRPr="00716176">
        <w:t>to qualify for a research load</w:t>
      </w:r>
      <w:r w:rsidRPr="00716176">
        <w:t xml:space="preserve">.  Evidence of continued productivity </w:t>
      </w:r>
      <w:r w:rsidR="002F1CA8" w:rsidRPr="00716176">
        <w:t xml:space="preserve">includes </w:t>
      </w:r>
      <w:r w:rsidRPr="00716176">
        <w:t xml:space="preserve">correspondence with editors testifying to acceptances, correspondence with editors testifying to submissions, drafts of manuscripts, </w:t>
      </w:r>
      <w:r w:rsidR="0090500D" w:rsidRPr="00716176">
        <w:t xml:space="preserve">and </w:t>
      </w:r>
      <w:r w:rsidR="002F1CA8" w:rsidRPr="00716176">
        <w:t>conference participation</w:t>
      </w:r>
      <w:r w:rsidRPr="00716176">
        <w:t xml:space="preserve">. </w:t>
      </w:r>
      <w:r w:rsidR="007B28E9" w:rsidRPr="00716176">
        <w:t>Faculty members who cannot satisfactorily demonstrate research</w:t>
      </w:r>
      <w:r w:rsidR="0090500D" w:rsidRPr="00716176">
        <w:t xml:space="preserve"> productivity</w:t>
      </w:r>
      <w:r w:rsidR="007B28E9" w:rsidRPr="00716176">
        <w:t xml:space="preserve"> will be assigned a higher teaching or service load.</w:t>
      </w:r>
    </w:p>
    <w:p w:rsidR="00531FDB" w:rsidRPr="00716176" w:rsidRDefault="00531FDB"/>
    <w:p w:rsidR="00531FDB" w:rsidRPr="00716176" w:rsidRDefault="00531FDB">
      <w:pPr>
        <w:rPr>
          <w:u w:val="single"/>
        </w:rPr>
      </w:pPr>
      <w:r w:rsidRPr="00716176">
        <w:rPr>
          <w:u w:val="single"/>
        </w:rPr>
        <w:t>Course Reductions</w:t>
      </w:r>
      <w:r w:rsidR="00861A19" w:rsidRPr="00716176">
        <w:rPr>
          <w:u w:val="single"/>
        </w:rPr>
        <w:t xml:space="preserve"> for Tenure-System Faculty</w:t>
      </w:r>
    </w:p>
    <w:p w:rsidR="00861A19" w:rsidRPr="00716176" w:rsidRDefault="00531FDB" w:rsidP="00531FDB">
      <w:r w:rsidRPr="00716176">
        <w:t xml:space="preserve">Because tenure-system faculty members have a research-intensive workload consistent with that at other R1 institutions, course </w:t>
      </w:r>
      <w:r w:rsidRPr="00716176">
        <w:lastRenderedPageBreak/>
        <w:t xml:space="preserve">reductions are </w:t>
      </w:r>
      <w:r w:rsidR="00861A19" w:rsidRPr="00716176">
        <w:t xml:space="preserve">normally </w:t>
      </w:r>
      <w:r w:rsidR="00A86D8A" w:rsidRPr="00716176">
        <w:t>granted only to</w:t>
      </w:r>
      <w:r w:rsidRPr="00716176">
        <w:t xml:space="preserve"> those in significant administrative roles, like Chair, Associate Chair, the Chair of Graduate Studies, the Director of First Year Writing, and the Chair of Creative Writing</w:t>
      </w:r>
      <w:r w:rsidR="0090500D" w:rsidRPr="00716176">
        <w:t xml:space="preserve">. </w:t>
      </w:r>
      <w:r w:rsidR="00861A19" w:rsidRPr="00716176">
        <w:t>The Director of Undergraduate Studies</w:t>
      </w:r>
      <w:r w:rsidR="00B86290" w:rsidRPr="00716176">
        <w:t>,</w:t>
      </w:r>
      <w:r w:rsidR="00861A19" w:rsidRPr="00716176">
        <w:t xml:space="preserve"> the PAC co-chair in charge of promotions, and incoming editors of </w:t>
      </w:r>
      <w:proofErr w:type="spellStart"/>
      <w:r w:rsidR="00861A19" w:rsidRPr="00716176">
        <w:rPr>
          <w:i/>
        </w:rPr>
        <w:t>SiTN</w:t>
      </w:r>
      <w:proofErr w:type="spellEnd"/>
      <w:r w:rsidR="00861A19" w:rsidRPr="00716176">
        <w:rPr>
          <w:i/>
        </w:rPr>
        <w:t xml:space="preserve"> </w:t>
      </w:r>
      <w:r w:rsidR="00861A19" w:rsidRPr="00716176">
        <w:t xml:space="preserve">or </w:t>
      </w:r>
      <w:r w:rsidR="00861A19" w:rsidRPr="00716176">
        <w:rPr>
          <w:i/>
        </w:rPr>
        <w:t xml:space="preserve">ALR </w:t>
      </w:r>
      <w:r w:rsidR="00B86290" w:rsidRPr="00716176">
        <w:t xml:space="preserve">may </w:t>
      </w:r>
      <w:r w:rsidR="00861A19" w:rsidRPr="00716176">
        <w:t xml:space="preserve">occasionally qualify for an ad hoc course reduction, depending on that year’s workload. </w:t>
      </w:r>
    </w:p>
    <w:p w:rsidR="00861A19" w:rsidRPr="00716176" w:rsidRDefault="00861A19" w:rsidP="00531FDB"/>
    <w:p w:rsidR="00531FDB" w:rsidRPr="00716176" w:rsidRDefault="00531FDB" w:rsidP="00531FDB">
      <w:r w:rsidRPr="00716176">
        <w:t xml:space="preserve">There will </w:t>
      </w:r>
      <w:r w:rsidR="005F57F0" w:rsidRPr="00716176">
        <w:t xml:space="preserve">normally </w:t>
      </w:r>
      <w:r w:rsidR="00B86290" w:rsidRPr="00716176">
        <w:t>be</w:t>
      </w:r>
      <w:r w:rsidRPr="00716176">
        <w:t xml:space="preserve"> no ad hoc course reduc</w:t>
      </w:r>
      <w:r w:rsidR="00865A28" w:rsidRPr="00716176">
        <w:t>tions for</w:t>
      </w:r>
      <w:r w:rsidR="00861A19" w:rsidRPr="00716176">
        <w:t xml:space="preserve"> other</w:t>
      </w:r>
      <w:r w:rsidR="00865A28" w:rsidRPr="00716176">
        <w:t xml:space="preserve"> committee assignments or other service tasks. </w:t>
      </w:r>
      <w:r w:rsidRPr="00716176">
        <w:t xml:space="preserve">  </w:t>
      </w:r>
    </w:p>
    <w:p w:rsidR="005F57F0" w:rsidRPr="00716176" w:rsidRDefault="005F57F0" w:rsidP="00531FDB"/>
    <w:p w:rsidR="00A86D8A" w:rsidRPr="00716176" w:rsidRDefault="00A86D8A" w:rsidP="00531FDB">
      <w:r w:rsidRPr="00716176">
        <w:t xml:space="preserve">As part of their negotiations with the chair, </w:t>
      </w:r>
      <w:r w:rsidR="002F1CA8" w:rsidRPr="00716176">
        <w:t xml:space="preserve">new </w:t>
      </w:r>
      <w:r w:rsidRPr="00716176">
        <w:t>faculty may be granted</w:t>
      </w:r>
      <w:r w:rsidR="002F1CA8" w:rsidRPr="00716176">
        <w:t xml:space="preserve"> up to two</w:t>
      </w:r>
      <w:r w:rsidRPr="00716176">
        <w:t xml:space="preserve"> course releases to conduct research</w:t>
      </w:r>
      <w:r w:rsidR="002F1CA8" w:rsidRPr="00716176">
        <w:t xml:space="preserve"> in their first three years of employment</w:t>
      </w:r>
      <w:r w:rsidRPr="00716176">
        <w:t>.</w:t>
      </w:r>
    </w:p>
    <w:p w:rsidR="00A86D8A" w:rsidRPr="00716176" w:rsidRDefault="00A86D8A" w:rsidP="00531FDB"/>
    <w:p w:rsidR="00861A19" w:rsidRPr="00716176" w:rsidRDefault="005F57F0" w:rsidP="00531FDB">
      <w:r w:rsidRPr="00716176">
        <w:t xml:space="preserve">Very rarely, faculty members who are good citizens of the department (as </w:t>
      </w:r>
      <w:r w:rsidR="00A86D8A" w:rsidRPr="00716176">
        <w:t xml:space="preserve">defined in the UNT Academic Freedom and Responsibility Policy and </w:t>
      </w:r>
      <w:r w:rsidRPr="00716176">
        <w:t xml:space="preserve">determined by </w:t>
      </w:r>
      <w:r w:rsidR="00A86D8A" w:rsidRPr="00716176">
        <w:t xml:space="preserve">teaching and </w:t>
      </w:r>
      <w:r w:rsidRPr="00716176">
        <w:t>service scores in annual evaluations) and who are completing a high impact book may be gr</w:t>
      </w:r>
      <w:r w:rsidR="00A86D8A" w:rsidRPr="00716176">
        <w:t>anted an ad hoc course release.</w:t>
      </w:r>
      <w:r w:rsidRPr="00716176">
        <w:t xml:space="preserve"> Such course releases are </w:t>
      </w:r>
      <w:r w:rsidR="0090500D" w:rsidRPr="00716176">
        <w:t xml:space="preserve">rare </w:t>
      </w:r>
      <w:r w:rsidRPr="00716176">
        <w:t>privileges, granted at the chair’s discr</w:t>
      </w:r>
      <w:r w:rsidR="00A86D8A" w:rsidRPr="00716176">
        <w:t>etion</w:t>
      </w:r>
      <w:r w:rsidR="0090500D" w:rsidRPr="00716176">
        <w:t xml:space="preserve">, </w:t>
      </w:r>
      <w:r w:rsidR="002F1CA8" w:rsidRPr="00716176">
        <w:t xml:space="preserve">and only </w:t>
      </w:r>
      <w:r w:rsidR="0090500D" w:rsidRPr="00716176">
        <w:t>if departmental resources allow</w:t>
      </w:r>
      <w:r w:rsidRPr="00716176">
        <w:t xml:space="preserve">. Those faculty members wishing to request a release of this sort </w:t>
      </w:r>
      <w:r w:rsidR="002F1CA8" w:rsidRPr="00716176">
        <w:t xml:space="preserve">should </w:t>
      </w:r>
      <w:r w:rsidRPr="00716176">
        <w:t xml:space="preserve">provide a </w:t>
      </w:r>
      <w:r w:rsidR="002F1CA8" w:rsidRPr="00716176">
        <w:t xml:space="preserve">detailed </w:t>
      </w:r>
      <w:r w:rsidR="00A86D8A" w:rsidRPr="00716176">
        <w:t xml:space="preserve">research </w:t>
      </w:r>
      <w:r w:rsidRPr="00716176">
        <w:t>proposal</w:t>
      </w:r>
      <w:r w:rsidR="00A86D8A" w:rsidRPr="00716176">
        <w:t xml:space="preserve">, complete with deadlines for submission, </w:t>
      </w:r>
      <w:r w:rsidRPr="00716176">
        <w:t xml:space="preserve">and relevant documentation (e.g., correspondence from a press). </w:t>
      </w:r>
    </w:p>
    <w:p w:rsidR="00861A19" w:rsidRPr="00716176" w:rsidRDefault="00861A19" w:rsidP="00861A19"/>
    <w:p w:rsidR="00861A19" w:rsidRPr="00716176" w:rsidRDefault="00861A19" w:rsidP="00861A19">
      <w:pPr>
        <w:rPr>
          <w:u w:val="single"/>
        </w:rPr>
      </w:pPr>
      <w:r w:rsidRPr="00716176">
        <w:rPr>
          <w:u w:val="single"/>
        </w:rPr>
        <w:t xml:space="preserve">Course Reductions for </w:t>
      </w:r>
      <w:r w:rsidR="00716176" w:rsidRPr="00716176">
        <w:rPr>
          <w:u w:val="single"/>
        </w:rPr>
        <w:t>Non-</w:t>
      </w:r>
      <w:r w:rsidRPr="00716176">
        <w:rPr>
          <w:u w:val="single"/>
        </w:rPr>
        <w:t>Tenure-System Faculty</w:t>
      </w:r>
    </w:p>
    <w:p w:rsidR="00A03636" w:rsidRPr="00716176" w:rsidRDefault="004B24C5" w:rsidP="00DE6572">
      <w:r>
        <w:lastRenderedPageBreak/>
        <w:t>The</w:t>
      </w:r>
      <w:r w:rsidRPr="00716176">
        <w:t xml:space="preserve"> graduate and undergraduate advisors, the associate director of FYW, the co-chairs of the LPAC, </w:t>
      </w:r>
      <w:r>
        <w:t xml:space="preserve">and </w:t>
      </w:r>
      <w:r w:rsidRPr="00716176">
        <w:t>the editor of NTR</w:t>
      </w:r>
      <w:r>
        <w:t xml:space="preserve"> qualify for course reductions. </w:t>
      </w:r>
      <w:r w:rsidR="00865A28" w:rsidRPr="00716176">
        <w:t>Because lecturers teach a heavy load, those who</w:t>
      </w:r>
      <w:r w:rsidR="00531FDB" w:rsidRPr="00716176">
        <w:t xml:space="preserve"> take on</w:t>
      </w:r>
      <w:r w:rsidR="00087599">
        <w:t xml:space="preserve"> other</w:t>
      </w:r>
      <w:r w:rsidR="00531FDB" w:rsidRPr="00716176">
        <w:t xml:space="preserve"> </w:t>
      </w:r>
      <w:r w:rsidR="00861A19" w:rsidRPr="00716176">
        <w:t>time-consuming</w:t>
      </w:r>
      <w:r w:rsidR="00531FDB" w:rsidRPr="00716176">
        <w:t xml:space="preserve"> service</w:t>
      </w:r>
      <w:r w:rsidR="00865A28" w:rsidRPr="00716176">
        <w:t xml:space="preserve"> assignments</w:t>
      </w:r>
      <w:r w:rsidR="0007252E">
        <w:t xml:space="preserve"> </w:t>
      </w:r>
      <w:r w:rsidR="005F57F0" w:rsidRPr="00716176">
        <w:t xml:space="preserve">may </w:t>
      </w:r>
      <w:r w:rsidR="00861A19" w:rsidRPr="00716176">
        <w:t>qualify for</w:t>
      </w:r>
      <w:r w:rsidR="00087599">
        <w:t xml:space="preserve"> ad hoc</w:t>
      </w:r>
      <w:r w:rsidR="00861A19" w:rsidRPr="00716176">
        <w:t xml:space="preserve"> course reductions.  </w:t>
      </w:r>
    </w:p>
    <w:p w:rsidR="00A03636" w:rsidRPr="00716176" w:rsidRDefault="00A03636" w:rsidP="00DE6572">
      <w:pPr>
        <w:rPr>
          <w:rFonts w:cs="Times New Roman"/>
        </w:rPr>
      </w:pPr>
    </w:p>
    <w:p w:rsidR="00207391" w:rsidRPr="00716176" w:rsidRDefault="00E47C4C" w:rsidP="00DE6572">
      <w:pPr>
        <w:rPr>
          <w:rFonts w:cs="Times New Roman"/>
          <w:u w:val="single"/>
        </w:rPr>
      </w:pPr>
      <w:r w:rsidRPr="00716176">
        <w:rPr>
          <w:rFonts w:cs="Times New Roman"/>
          <w:u w:val="single"/>
        </w:rPr>
        <w:t>Process for Assigning</w:t>
      </w:r>
      <w:r w:rsidR="00B666F9" w:rsidRPr="00716176">
        <w:rPr>
          <w:rFonts w:cs="Times New Roman"/>
          <w:u w:val="single"/>
        </w:rPr>
        <w:t xml:space="preserve"> </w:t>
      </w:r>
      <w:r w:rsidRPr="00716176">
        <w:rPr>
          <w:rFonts w:cs="Times New Roman"/>
          <w:u w:val="single"/>
        </w:rPr>
        <w:t xml:space="preserve">Workload </w:t>
      </w:r>
    </w:p>
    <w:p w:rsidR="00693BE0" w:rsidRPr="00716176" w:rsidRDefault="00E47C4C" w:rsidP="002F1CA8">
      <w:pPr>
        <w:rPr>
          <w:rFonts w:cs="Times New Roman"/>
        </w:rPr>
      </w:pPr>
      <w:r w:rsidRPr="00716176">
        <w:rPr>
          <w:rFonts w:cs="Times New Roman"/>
        </w:rPr>
        <w:t>Late in each spring semester the c</w:t>
      </w:r>
      <w:r w:rsidR="008F70F7" w:rsidRPr="00716176">
        <w:rPr>
          <w:rFonts w:cs="Times New Roman"/>
        </w:rPr>
        <w:t xml:space="preserve">hair will </w:t>
      </w:r>
      <w:r w:rsidR="0090500D" w:rsidRPr="00716176">
        <w:rPr>
          <w:rFonts w:cs="Times New Roman"/>
        </w:rPr>
        <w:t xml:space="preserve">meet with faculty members to </w:t>
      </w:r>
      <w:r w:rsidRPr="00716176">
        <w:rPr>
          <w:rFonts w:cs="Times New Roman"/>
        </w:rPr>
        <w:t xml:space="preserve">assign workload for the </w:t>
      </w:r>
      <w:r w:rsidR="008F70F7" w:rsidRPr="00716176">
        <w:rPr>
          <w:rFonts w:cs="Times New Roman"/>
        </w:rPr>
        <w:t>following academic year.</w:t>
      </w:r>
      <w:r w:rsidR="00087599">
        <w:rPr>
          <w:rFonts w:cs="Times New Roman"/>
        </w:rPr>
        <w:t xml:space="preserve"> </w:t>
      </w:r>
      <w:r w:rsidRPr="00716176">
        <w:rPr>
          <w:rFonts w:cs="Times New Roman"/>
        </w:rPr>
        <w:t xml:space="preserve">In early fall and again in early spring, the workload allocation will be confirmed </w:t>
      </w:r>
      <w:r w:rsidR="002F1CA8" w:rsidRPr="00716176">
        <w:rPr>
          <w:rFonts w:cs="Times New Roman"/>
        </w:rPr>
        <w:t xml:space="preserve">and validated </w:t>
      </w:r>
      <w:r w:rsidRPr="00716176">
        <w:rPr>
          <w:rFonts w:cs="Times New Roman"/>
        </w:rPr>
        <w:t>through FIS. In making workload assignments, t</w:t>
      </w:r>
      <w:r w:rsidR="002F1CA8" w:rsidRPr="00716176">
        <w:rPr>
          <w:rFonts w:cs="Times New Roman"/>
        </w:rPr>
        <w:t xml:space="preserve">he chair will </w:t>
      </w:r>
      <w:r w:rsidRPr="00716176">
        <w:rPr>
          <w:rFonts w:cs="Times New Roman"/>
        </w:rPr>
        <w:t xml:space="preserve">consult </w:t>
      </w:r>
      <w:r w:rsidR="00B666F9" w:rsidRPr="00716176">
        <w:rPr>
          <w:rFonts w:cs="Times New Roman"/>
        </w:rPr>
        <w:t xml:space="preserve">these guidelines, </w:t>
      </w:r>
      <w:r w:rsidRPr="00716176">
        <w:rPr>
          <w:rFonts w:cs="Times New Roman"/>
        </w:rPr>
        <w:t>departmental needs in the areas of teaching and service</w:t>
      </w:r>
      <w:r w:rsidR="00B666F9" w:rsidRPr="00716176">
        <w:rPr>
          <w:rFonts w:cs="Times New Roman"/>
        </w:rPr>
        <w:t>,</w:t>
      </w:r>
      <w:r w:rsidRPr="00716176">
        <w:rPr>
          <w:rFonts w:cs="Times New Roman"/>
        </w:rPr>
        <w:t xml:space="preserve"> and the </w:t>
      </w:r>
      <w:r w:rsidR="00693BE0" w:rsidRPr="00716176">
        <w:rPr>
          <w:rFonts w:cs="Times New Roman"/>
        </w:rPr>
        <w:t>annual evaluation</w:t>
      </w:r>
      <w:r w:rsidRPr="00716176">
        <w:rPr>
          <w:rFonts w:cs="Times New Roman"/>
        </w:rPr>
        <w:t>s</w:t>
      </w:r>
      <w:r w:rsidR="00693BE0" w:rsidRPr="00716176">
        <w:rPr>
          <w:rFonts w:cs="Times New Roman"/>
        </w:rPr>
        <w:t xml:space="preserve"> of </w:t>
      </w:r>
      <w:r w:rsidRPr="00716176">
        <w:rPr>
          <w:rFonts w:cs="Times New Roman"/>
        </w:rPr>
        <w:t>the faculty</w:t>
      </w:r>
      <w:r w:rsidR="002F1CA8" w:rsidRPr="00716176">
        <w:rPr>
          <w:rFonts w:cs="Times New Roman"/>
        </w:rPr>
        <w:t>.</w:t>
      </w:r>
      <w:r w:rsidR="00B666F9" w:rsidRPr="00716176">
        <w:rPr>
          <w:rFonts w:cs="Times New Roman"/>
        </w:rPr>
        <w:t xml:space="preserve"> </w:t>
      </w:r>
      <w:r w:rsidR="002F1CA8" w:rsidRPr="00716176">
        <w:t>At the chair’s discretion, workloads can be altered based on faculty productivity or emerging departmental need. Faculty should bring any requests for changes in workload percentage in writing to the annual workload meeting with the chair for consideration.</w:t>
      </w:r>
    </w:p>
    <w:p w:rsidR="00A06568" w:rsidRPr="00716176" w:rsidRDefault="00A06568" w:rsidP="006D11D0">
      <w:pPr>
        <w:rPr>
          <w:rFonts w:cs="Times New Roman"/>
        </w:rPr>
      </w:pPr>
    </w:p>
    <w:p w:rsidR="006D11D0" w:rsidRPr="00716176" w:rsidRDefault="002F1CA8" w:rsidP="006D11D0">
      <w:pPr>
        <w:rPr>
          <w:rFonts w:cs="Times New Roman"/>
          <w:u w:val="single"/>
        </w:rPr>
      </w:pPr>
      <w:r w:rsidRPr="00716176">
        <w:rPr>
          <w:rFonts w:cs="Times New Roman"/>
          <w:u w:val="single"/>
        </w:rPr>
        <w:t xml:space="preserve">Process for Faculty Complaints </w:t>
      </w:r>
    </w:p>
    <w:p w:rsidR="006D11D0" w:rsidRPr="00716176" w:rsidRDefault="006D11D0" w:rsidP="006D11D0">
      <w:pPr>
        <w:rPr>
          <w:rFonts w:cs="Times New Roman"/>
        </w:rPr>
      </w:pPr>
    </w:p>
    <w:p w:rsidR="006D11D0" w:rsidRPr="00716176" w:rsidRDefault="006D11D0" w:rsidP="006D11D0">
      <w:pPr>
        <w:rPr>
          <w:rFonts w:cs="Times New Roman"/>
        </w:rPr>
      </w:pPr>
      <w:r w:rsidRPr="00716176">
        <w:rPr>
          <w:rFonts w:cs="Times New Roman"/>
        </w:rPr>
        <w:t>Faculty member complaints about workload will be handled as follows:</w:t>
      </w:r>
    </w:p>
    <w:p w:rsidR="006D11D0" w:rsidRPr="00716176" w:rsidRDefault="006D11D0" w:rsidP="006D11D0">
      <w:pPr>
        <w:rPr>
          <w:rFonts w:cs="Times New Roman"/>
        </w:rPr>
      </w:pPr>
    </w:p>
    <w:p w:rsidR="006D11D0" w:rsidRPr="00716176" w:rsidRDefault="00CA1646" w:rsidP="006D11D0">
      <w:pPr>
        <w:pStyle w:val="ListParagraph"/>
        <w:numPr>
          <w:ilvl w:val="0"/>
          <w:numId w:val="7"/>
        </w:numPr>
        <w:rPr>
          <w:rFonts w:cs="Times New Roman"/>
        </w:rPr>
      </w:pPr>
      <w:r w:rsidRPr="00716176">
        <w:rPr>
          <w:rFonts w:cs="Times New Roman"/>
        </w:rPr>
        <w:t xml:space="preserve">Faculty members wishing to complain about their course-load for the following academic year will file their complaint with the department chair </w:t>
      </w:r>
      <w:r w:rsidR="00087599">
        <w:rPr>
          <w:rFonts w:cs="Times New Roman"/>
        </w:rPr>
        <w:t xml:space="preserve">and the EC </w:t>
      </w:r>
      <w:r w:rsidRPr="00716176">
        <w:rPr>
          <w:rFonts w:cs="Times New Roman"/>
        </w:rPr>
        <w:t xml:space="preserve">within 5 business days of the day when the chair </w:t>
      </w:r>
      <w:r w:rsidR="00087599">
        <w:rPr>
          <w:rFonts w:cs="Times New Roman"/>
        </w:rPr>
        <w:t>confirms</w:t>
      </w:r>
      <w:r w:rsidRPr="00716176">
        <w:rPr>
          <w:rFonts w:cs="Times New Roman"/>
        </w:rPr>
        <w:t xml:space="preserve"> workload assignments for </w:t>
      </w:r>
      <w:r w:rsidRPr="00716176">
        <w:rPr>
          <w:rFonts w:cs="Times New Roman"/>
        </w:rPr>
        <w:lastRenderedPageBreak/>
        <w:t>the next academic year</w:t>
      </w:r>
      <w:r w:rsidR="00087599">
        <w:rPr>
          <w:rFonts w:cs="Times New Roman"/>
        </w:rPr>
        <w:t xml:space="preserve"> by email</w:t>
      </w:r>
      <w:r w:rsidRPr="00716176">
        <w:rPr>
          <w:rFonts w:cs="Times New Roman"/>
        </w:rPr>
        <w:t>. The faculty member’s complaint should include an evidence-based argument as to why the proposed workload assignment is not in conformity with the guidelines laid forth in this policy.</w:t>
      </w:r>
    </w:p>
    <w:p w:rsidR="00CA1646" w:rsidRPr="00716176" w:rsidRDefault="00CA1646" w:rsidP="006D11D0">
      <w:pPr>
        <w:pStyle w:val="ListParagraph"/>
        <w:numPr>
          <w:ilvl w:val="0"/>
          <w:numId w:val="7"/>
        </w:numPr>
        <w:rPr>
          <w:rFonts w:cs="Times New Roman"/>
        </w:rPr>
      </w:pPr>
      <w:r w:rsidRPr="00716176">
        <w:rPr>
          <w:rFonts w:cs="Times New Roman"/>
        </w:rPr>
        <w:t xml:space="preserve">Within five business days of receipt of the faculty member’s complaint, the department chair and the </w:t>
      </w:r>
      <w:r w:rsidR="002F1CA8" w:rsidRPr="00716176">
        <w:rPr>
          <w:rFonts w:cs="Times New Roman"/>
        </w:rPr>
        <w:t>EC</w:t>
      </w:r>
      <w:r w:rsidRPr="00716176">
        <w:rPr>
          <w:rFonts w:cs="Times New Roman"/>
        </w:rPr>
        <w:t xml:space="preserve"> will review the faculty member’s complaint in light of the guidelines in this policy. If the faculty member and/or the chair and/or the </w:t>
      </w:r>
      <w:r w:rsidR="00B666F9" w:rsidRPr="00716176">
        <w:rPr>
          <w:rFonts w:cs="Times New Roman"/>
        </w:rPr>
        <w:t xml:space="preserve">EC </w:t>
      </w:r>
      <w:r w:rsidRPr="00716176">
        <w:rPr>
          <w:rFonts w:cs="Times New Roman"/>
        </w:rPr>
        <w:t xml:space="preserve">desire, the faculty member may meet with the chair and/or the </w:t>
      </w:r>
      <w:r w:rsidR="00B666F9" w:rsidRPr="00716176">
        <w:rPr>
          <w:rFonts w:cs="Times New Roman"/>
        </w:rPr>
        <w:t>EC</w:t>
      </w:r>
      <w:r w:rsidRPr="00716176">
        <w:rPr>
          <w:rFonts w:cs="Times New Roman"/>
        </w:rPr>
        <w:t xml:space="preserve"> in person to discuss the complaint.</w:t>
      </w:r>
    </w:p>
    <w:p w:rsidR="00CA1646" w:rsidRPr="00716176" w:rsidRDefault="004D5922" w:rsidP="006D11D0">
      <w:pPr>
        <w:pStyle w:val="ListParagraph"/>
        <w:numPr>
          <w:ilvl w:val="0"/>
          <w:numId w:val="7"/>
        </w:numPr>
        <w:rPr>
          <w:rFonts w:cs="Times New Roman"/>
        </w:rPr>
      </w:pPr>
      <w:r w:rsidRPr="00716176">
        <w:rPr>
          <w:rFonts w:cs="Times New Roman"/>
        </w:rPr>
        <w:t>Within seven</w:t>
      </w:r>
      <w:r w:rsidR="00CA1646" w:rsidRPr="00716176">
        <w:rPr>
          <w:rFonts w:cs="Times New Roman"/>
        </w:rPr>
        <w:t xml:space="preserve"> business days of receipt of the faculty member’s complaint, the department chair, in consultation with the </w:t>
      </w:r>
      <w:r w:rsidR="00B666F9" w:rsidRPr="00716176">
        <w:rPr>
          <w:rFonts w:cs="Times New Roman"/>
        </w:rPr>
        <w:t>EC</w:t>
      </w:r>
      <w:r w:rsidR="00CA1646" w:rsidRPr="00716176">
        <w:rPr>
          <w:rFonts w:cs="Times New Roman"/>
        </w:rPr>
        <w:t xml:space="preserve">, will </w:t>
      </w:r>
      <w:r w:rsidR="00E827CE" w:rsidRPr="00716176">
        <w:rPr>
          <w:rFonts w:cs="Times New Roman"/>
        </w:rPr>
        <w:t>prepare a written response to the faculty member’s complaint. The response should incorporate an evidence-based argument as to why the chair has chosen either to change or not to change the original workload assignment.</w:t>
      </w:r>
    </w:p>
    <w:p w:rsidR="00E827CE" w:rsidRPr="00716176" w:rsidRDefault="00E827CE" w:rsidP="006D11D0">
      <w:pPr>
        <w:pStyle w:val="ListParagraph"/>
        <w:numPr>
          <w:ilvl w:val="0"/>
          <w:numId w:val="7"/>
        </w:numPr>
        <w:rPr>
          <w:rFonts w:cs="Times New Roman"/>
        </w:rPr>
      </w:pPr>
      <w:r w:rsidRPr="00716176">
        <w:rPr>
          <w:rFonts w:cs="Times New Roman"/>
        </w:rPr>
        <w:t>If the chair has declined to change the original workload assignment, the faculty member may take their complaint to the college level, where it will be handled in accordance to the procedures established by the college.</w:t>
      </w:r>
    </w:p>
    <w:sectPr w:rsidR="00E827CE" w:rsidRPr="00716176" w:rsidSect="00AA2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509"/>
    <w:multiLevelType w:val="hybridMultilevel"/>
    <w:tmpl w:val="A6E88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6191"/>
    <w:multiLevelType w:val="hybridMultilevel"/>
    <w:tmpl w:val="9776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C475A"/>
    <w:multiLevelType w:val="hybridMultilevel"/>
    <w:tmpl w:val="CB3A0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849B1"/>
    <w:multiLevelType w:val="hybridMultilevel"/>
    <w:tmpl w:val="8B0A9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4542E"/>
    <w:multiLevelType w:val="hybridMultilevel"/>
    <w:tmpl w:val="5C766F02"/>
    <w:lvl w:ilvl="0" w:tplc="1722F1B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F7642"/>
    <w:multiLevelType w:val="hybridMultilevel"/>
    <w:tmpl w:val="1046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962B6"/>
    <w:multiLevelType w:val="hybridMultilevel"/>
    <w:tmpl w:val="C7A499B0"/>
    <w:lvl w:ilvl="0" w:tplc="95CEAA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5116D"/>
    <w:multiLevelType w:val="hybridMultilevel"/>
    <w:tmpl w:val="EA36B4A8"/>
    <w:lvl w:ilvl="0" w:tplc="2C3438D6">
      <w:start w:val="13"/>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E4"/>
    <w:rsid w:val="0000006B"/>
    <w:rsid w:val="0001339A"/>
    <w:rsid w:val="000354D9"/>
    <w:rsid w:val="0006482D"/>
    <w:rsid w:val="0007252E"/>
    <w:rsid w:val="00087599"/>
    <w:rsid w:val="000A0576"/>
    <w:rsid w:val="000A1477"/>
    <w:rsid w:val="001C2F8F"/>
    <w:rsid w:val="00207391"/>
    <w:rsid w:val="00242DF8"/>
    <w:rsid w:val="00257B59"/>
    <w:rsid w:val="00280E5E"/>
    <w:rsid w:val="002A1DDB"/>
    <w:rsid w:val="002C00C9"/>
    <w:rsid w:val="002C02B6"/>
    <w:rsid w:val="002F1CA8"/>
    <w:rsid w:val="002F691F"/>
    <w:rsid w:val="00367A74"/>
    <w:rsid w:val="003F3DA3"/>
    <w:rsid w:val="00437F7A"/>
    <w:rsid w:val="004848CD"/>
    <w:rsid w:val="004A1D2C"/>
    <w:rsid w:val="004B24C5"/>
    <w:rsid w:val="004C104A"/>
    <w:rsid w:val="004D5922"/>
    <w:rsid w:val="004E12C3"/>
    <w:rsid w:val="00523724"/>
    <w:rsid w:val="00531FDB"/>
    <w:rsid w:val="00557CD5"/>
    <w:rsid w:val="0058279F"/>
    <w:rsid w:val="005B42CC"/>
    <w:rsid w:val="005F4ECD"/>
    <w:rsid w:val="005F57F0"/>
    <w:rsid w:val="005F6523"/>
    <w:rsid w:val="00673448"/>
    <w:rsid w:val="00693BE0"/>
    <w:rsid w:val="006A20C1"/>
    <w:rsid w:val="006A545B"/>
    <w:rsid w:val="006A7CDB"/>
    <w:rsid w:val="006D11D0"/>
    <w:rsid w:val="006D7297"/>
    <w:rsid w:val="006E02DE"/>
    <w:rsid w:val="00700820"/>
    <w:rsid w:val="00704444"/>
    <w:rsid w:val="00716176"/>
    <w:rsid w:val="00731C9B"/>
    <w:rsid w:val="007B28E9"/>
    <w:rsid w:val="007E668C"/>
    <w:rsid w:val="00861A19"/>
    <w:rsid w:val="008656B0"/>
    <w:rsid w:val="00865A28"/>
    <w:rsid w:val="008A0684"/>
    <w:rsid w:val="008B66CE"/>
    <w:rsid w:val="008C33B2"/>
    <w:rsid w:val="008F70F7"/>
    <w:rsid w:val="0090500D"/>
    <w:rsid w:val="00916A2E"/>
    <w:rsid w:val="00935C1B"/>
    <w:rsid w:val="00940915"/>
    <w:rsid w:val="009513E4"/>
    <w:rsid w:val="009D3587"/>
    <w:rsid w:val="009E7C5D"/>
    <w:rsid w:val="00A03636"/>
    <w:rsid w:val="00A06568"/>
    <w:rsid w:val="00A65014"/>
    <w:rsid w:val="00A70FF5"/>
    <w:rsid w:val="00A86D8A"/>
    <w:rsid w:val="00AA243E"/>
    <w:rsid w:val="00AF3898"/>
    <w:rsid w:val="00AF7CE8"/>
    <w:rsid w:val="00B00212"/>
    <w:rsid w:val="00B666F9"/>
    <w:rsid w:val="00B86290"/>
    <w:rsid w:val="00B92B54"/>
    <w:rsid w:val="00BA03F6"/>
    <w:rsid w:val="00BA70D7"/>
    <w:rsid w:val="00C00326"/>
    <w:rsid w:val="00C344BF"/>
    <w:rsid w:val="00C43660"/>
    <w:rsid w:val="00CA1646"/>
    <w:rsid w:val="00D333B1"/>
    <w:rsid w:val="00D77745"/>
    <w:rsid w:val="00DC6C6E"/>
    <w:rsid w:val="00DE6572"/>
    <w:rsid w:val="00E018D8"/>
    <w:rsid w:val="00E0372B"/>
    <w:rsid w:val="00E20115"/>
    <w:rsid w:val="00E47C4C"/>
    <w:rsid w:val="00E827CE"/>
    <w:rsid w:val="00EB2160"/>
    <w:rsid w:val="00F363DD"/>
    <w:rsid w:val="00F7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529BD-DD8A-7146-B082-974BF03C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572"/>
    <w:pPr>
      <w:ind w:left="720"/>
      <w:contextualSpacing/>
    </w:pPr>
  </w:style>
  <w:style w:type="table" w:styleId="TableGrid">
    <w:name w:val="Table Grid"/>
    <w:basedOn w:val="TableNormal"/>
    <w:uiPriority w:val="39"/>
    <w:rsid w:val="004A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297"/>
    <w:rPr>
      <w:color w:val="0563C1" w:themeColor="hyperlink"/>
      <w:u w:val="single"/>
    </w:rPr>
  </w:style>
  <w:style w:type="character" w:styleId="FollowedHyperlink">
    <w:name w:val="FollowedHyperlink"/>
    <w:basedOn w:val="DefaultParagraphFont"/>
    <w:uiPriority w:val="99"/>
    <w:semiHidden/>
    <w:unhideWhenUsed/>
    <w:rsid w:val="00A86D8A"/>
    <w:rPr>
      <w:color w:val="954F72" w:themeColor="followedHyperlink"/>
      <w:u w:val="single"/>
    </w:rPr>
  </w:style>
  <w:style w:type="paragraph" w:styleId="BalloonText">
    <w:name w:val="Balloon Text"/>
    <w:basedOn w:val="Normal"/>
    <w:link w:val="BalloonTextChar"/>
    <w:uiPriority w:val="99"/>
    <w:semiHidden/>
    <w:unhideWhenUsed/>
    <w:rsid w:val="004B2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96995">
      <w:bodyDiv w:val="1"/>
      <w:marLeft w:val="0"/>
      <w:marRight w:val="0"/>
      <w:marTop w:val="0"/>
      <w:marBottom w:val="0"/>
      <w:divBdr>
        <w:top w:val="none" w:sz="0" w:space="0" w:color="auto"/>
        <w:left w:val="none" w:sz="0" w:space="0" w:color="auto"/>
        <w:bottom w:val="none" w:sz="0" w:space="0" w:color="auto"/>
        <w:right w:val="none" w:sz="0" w:space="0" w:color="auto"/>
      </w:divBdr>
    </w:div>
    <w:div w:id="170898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y.unt.edu/sites/default/files/06.035_AcademicFreedomAndAcademicResponsibility_2014.pdf" TargetMode="External"/><Relationship Id="rId5" Type="http://schemas.openxmlformats.org/officeDocument/2006/relationships/hyperlink" Target="https://policy.unt.edu/policy/06-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Honegger, Rob</cp:lastModifiedBy>
  <cp:revision>2</cp:revision>
  <cp:lastPrinted>2019-03-29T18:25:00Z</cp:lastPrinted>
  <dcterms:created xsi:type="dcterms:W3CDTF">2019-06-20T20:56:00Z</dcterms:created>
  <dcterms:modified xsi:type="dcterms:W3CDTF">2019-06-20T20:56:00Z</dcterms:modified>
</cp:coreProperties>
</file>